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4C" w:rsidRDefault="00C8284C" w:rsidP="00C8284C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>14 мая 2015 года Глава Удмуртской Республики подписал Закон Удмуртской Республики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Республики» № 32-РЗ.</w:t>
      </w:r>
    </w:p>
    <w:p w:rsidR="00C8284C" w:rsidRDefault="00C8284C" w:rsidP="00C8284C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>Закон принят Государственным Советом Удмуртской республики 30 апреля 2015 года.</w:t>
      </w:r>
    </w:p>
    <w:p w:rsidR="00C8284C" w:rsidRDefault="00C8284C" w:rsidP="00C8284C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 xml:space="preserve">Законом УР предоставляется право впервые зарегистрированным индивидуальным предпринимателям применять нулевую налоговую ставку при выборе упрощенной или патентной системы налогообложения. </w:t>
      </w:r>
      <w:proofErr w:type="gramStart"/>
      <w:r>
        <w:rPr>
          <w:rFonts w:ascii="Verdana" w:hAnsi="Verdana"/>
          <w:color w:val="3F3E3E"/>
          <w:sz w:val="21"/>
          <w:szCs w:val="21"/>
        </w:rPr>
        <w:t>Налоговые преференции рассчитаны на начинающих бизнесменов, осуществляющих на территории региона предпринимательскую деятельность в производственной, социальной и научной сферах.</w:t>
      </w:r>
      <w:proofErr w:type="gramEnd"/>
    </w:p>
    <w:p w:rsidR="00C8284C" w:rsidRDefault="00C8284C" w:rsidP="00C8284C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>В производственной сфере налоговые каникулы распространяются на сельское хозяйство, охоту и лесное хозяйство, рыболовство, рыбоводство, обрабатывающие производства. В социальной сфере – на образование, физкультурно-оздоровительную деятельность, спорт, деятельность в области культуры, медицины, туризма. К стимулируемой научной деятельности законодателем отнесены научные исследования, разработки и разработка программного обеспечения и консультирование в этой области.</w:t>
      </w:r>
    </w:p>
    <w:p w:rsidR="00C8284C" w:rsidRDefault="00C8284C" w:rsidP="00C8284C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>Согласно Закону УР мера поддержки деловой активности рассчитана на 2015–2018 годы. Налоговые каникулы для бизнесменов, занятых в перечисленных сферах, продлятся непрерывно в течение двух лет со дня государственной регистрации в качестве индивидуального предпринимателя.</w:t>
      </w:r>
    </w:p>
    <w:p w:rsidR="00C8284C" w:rsidRDefault="00C8284C" w:rsidP="00C8284C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>Закон распространяет свое действие на правоотношения, возникшие с 1 января 2015 года.</w:t>
      </w:r>
    </w:p>
    <w:p w:rsidR="00C8284C" w:rsidRDefault="00C8284C" w:rsidP="00C8284C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>Закон Удмуртской Республики от 14 мая 2015 года № 32-РЗ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Республики» размещен на Официальном сайте Главы Удмуртской Республики и Правительства Удмуртской Республики (раздел «Нормативные правовые акты УР»)</w:t>
      </w:r>
    </w:p>
    <w:p w:rsidR="00BD1E31" w:rsidRDefault="00BD1E31">
      <w:bookmarkStart w:id="0" w:name="_GoBack"/>
      <w:bookmarkEnd w:id="0"/>
    </w:p>
    <w:sectPr w:rsidR="00B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4C"/>
    <w:rsid w:val="0066146F"/>
    <w:rsid w:val="00BD1E31"/>
    <w:rsid w:val="00C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F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4C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F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4C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информатизации</dc:creator>
  <cp:lastModifiedBy>Отдел информатизации</cp:lastModifiedBy>
  <cp:revision>1</cp:revision>
  <dcterms:created xsi:type="dcterms:W3CDTF">2017-12-04T06:33:00Z</dcterms:created>
  <dcterms:modified xsi:type="dcterms:W3CDTF">2017-12-04T06:34:00Z</dcterms:modified>
</cp:coreProperties>
</file>