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651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1"/>
      </w:tblGrid>
      <w:tr>
        <w:trPr>
          <w:trHeight w:val="2217" w:hRule="atLeast"/>
        </w:trPr>
        <w:tc>
          <w:tcPr>
            <w:tcW w:w="5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И.о. Главы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Ю.Я. Уткин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left="0" w:right="0" w:firstLine="708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продаже муниципального имущества,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находящегося в собственности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«Малопургинский район»,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с. Пугачево,  ул. Тимура Миниахметова, д. 5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    Т.С. Акулова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Заместитель начальника отдела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 и архитектуры                                                                                              А.В. Барышников</w:t>
      </w:r>
    </w:p>
    <w:p>
      <w:pPr>
        <w:pStyle w:val="Style16"/>
        <w:rPr/>
      </w:pPr>
      <w:r>
        <w:rPr/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Начальник сектора по управлению имуществом                                                                    А.С. Блошкин</w:t>
      </w:r>
    </w:p>
    <w:p>
      <w:pPr>
        <w:pStyle w:val="Style16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  Мелёшкина Наталия Ивановна.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11 декабря 2017 года № 1359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Нежилые помещения на 1 этаже здания гостиницы со столовой, общая площадь 427,8 кв.м, расположенные по адресу: Удмуртская Республика, Малопургинский район, с. Пугачево, ул. Тимура Миниахметова, д. 5.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здания гостиницы со столовой: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Пугачево, ул. Тимура Миниахметова, д. 5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18:16:057001:3590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кв.м (всего здания)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957,5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нежилых помещений на 1 этаже здания, являющихся объектом продажи,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427,8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 арендопригодная,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427,8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Высота, 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3,16 -3,19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наземной части (всего здания)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подземной части (всего здания)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отдельного входа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отдельный вход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bookmarkStart w:id="0" w:name="__DdeLink__1946_3435135288"/>
      <w:bookmarkEnd w:id="0"/>
      <w:r>
        <w:rPr>
          <w:rFonts w:cs="Times New Roman" w:ascii="Times New Roman" w:hAnsi="Times New Roman"/>
          <w:sz w:val="24"/>
          <w:szCs w:val="24"/>
        </w:rPr>
        <w:t>Сведения о физических свойствах здания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955"/>
        <w:gridCol w:w="3450"/>
        <w:gridCol w:w="3677"/>
      </w:tblGrid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7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состояние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Трещины, следы намокания, покрыты плесенью, грибком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Стены и 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Сколы и повреждения кирпичей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Скатная,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Паркет, керамическая плитка, бетонные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Вытирание в ходовых местах, сколы, отсутствие отдельных плиток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Оконные проемы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Загрязнение, деревянные проемы рассохлись, не плотный притвор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Дверные проемы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окрасочного слоя, сколы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Инженерное обеспечение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Отопление, водопровод, канализация, горячее водоснабжение, газоснабжение,  электроосвещение, телефон, вентиляция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Крыльца, отмостка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1946_34351352881"/>
      <w:bookmarkStart w:id="2" w:name="__DdeLink__1946_34351352881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Описание земельного участка под зданием.</w:t>
      </w:r>
    </w:p>
    <w:p>
      <w:pPr>
        <w:pStyle w:val="ListParagraph"/>
        <w:spacing w:lineRule="auto" w:line="24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В соответствии с п. 1 ст. 35 Земельного кодекса Российской Федерации «При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собственник».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2"/>
        <w:gridCol w:w="5049"/>
      </w:tblGrid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Имущественные права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долгосрочной аренды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18:16:100001:844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Разрешенное использование/ назначение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иных объектов обороны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Отсутствует, т. к. земля является неизнашиваемым ресурсом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Устаревания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относящегося к помещениям 1 этажа здания гостиницы со столовой, кв.м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5 637,6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Многоугольная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простой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построек на земельном участке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Нежилые помещения на 1 этаже здания гостиницы со столовой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обособленных водных объектов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Отсутствуют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Инженерные сооружения и сети, осуществляющие подключение земельного участка к объектам инфраструктуры района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Есть возможность подключить основные коммуникации</w:t>
            </w:r>
          </w:p>
        </w:tc>
      </w:tr>
      <w:tr>
        <w:trPr/>
        <w:tc>
          <w:tcPr>
            <w:tcW w:w="5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элементы инженерного обеспечения, расположенные вне границ земельного участка</w:t>
            </w:r>
          </w:p>
        </w:tc>
        <w:tc>
          <w:tcPr>
            <w:tcW w:w="5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>
      <w:pPr>
        <w:pStyle w:val="Normal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Продажа муниципального имущества на аукционе с подачей предложений о цене имущества в открытой форме.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Начальная цена продажи нежилых помещений на 1 этаже здания гостиницы со столовой  установлена на основании отчета оценщика Общества с ограниченной ответственностью «Перспектива», - «Отчет № 17103 от 07.09.2017 г. об оценке объекта недвижимости Нежилые помещения на 1 этаже здания гостиницы со столовой, общая площадь 427,8 кв.м., расположенные по адресу: Удмуртская Республика, Малопургинский район, с. Пугачево, ул. Тимура Миниахметова, д. 5», -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3 938 000,00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(Три миллиона девятьсот тридцать восемь тысяч) рублей 00 копеек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(без учета НДС).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94633477 (МО «Пугачевское»)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 xml:space="preserve">процентов начальной цены, что составляет </w:t>
      </w:r>
      <w:r>
        <w:rPr>
          <w:rFonts w:cs="Times New Roman" w:ascii="Times New Roman" w:hAnsi="Times New Roman"/>
          <w:b/>
          <w:sz w:val="24"/>
          <w:szCs w:val="24"/>
        </w:rPr>
        <w:t xml:space="preserve"> 787 600,00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(Семьсот восемьдесят семь тысяч шестьсот) рублей 00 копеек.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 xml:space="preserve">: по </w:t>
      </w:r>
      <w:r>
        <w:rPr>
          <w:rFonts w:cs="Times New Roman" w:ascii="Times New Roman" w:hAnsi="Times New Roman"/>
          <w:b/>
          <w:bCs/>
          <w:sz w:val="24"/>
          <w:szCs w:val="24"/>
        </w:rPr>
        <w:t>12 января 2018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дней, со дня подведения итогов аукциона;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5%</w:t>
      </w:r>
      <w:r>
        <w:rPr>
          <w:rFonts w:cs="Times New Roman" w:ascii="Times New Roman" w:hAnsi="Times New Roman"/>
          <w:sz w:val="24"/>
          <w:szCs w:val="24"/>
        </w:rPr>
        <w:t xml:space="preserve"> (Пять процентов) от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196 900,00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(Сто девяносто шесть тысяч девятьсот) рублей 00 копеек.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    Дата начала подачи заявок:  19 декабря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Дата окончания подачи заявок: по 12 января 2018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аукциона: 18 января 2018 года в 10 час. 00 мин.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покупателями документов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</w:hyperlink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4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</w:hyperlink>
      <w:hyperlink r:id="rId5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6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</w:hyperlink>
      <w:hyperlink r:id="rId7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8"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9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</w:hyperlink>
      <w:hyperlink r:id="rId10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</w:hyperlink>
      <w:hyperlink r:id="rId11"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 xml:space="preserve">-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Победителем аукциона признается участник, номер карточки которого и заявленная им цена </w:t>
      </w:r>
      <w:r>
        <w:rPr>
          <w:rFonts w:cs="Times New Roman" w:ascii="Times New Roman" w:hAnsi="Times New Roman"/>
          <w:sz w:val="24"/>
          <w:szCs w:val="24"/>
        </w:rPr>
        <w:t xml:space="preserve">в ходе аукциона </w:t>
      </w:r>
      <w:r>
        <w:rPr>
          <w:rFonts w:cs="Times New Roman" w:ascii="Times New Roman" w:hAnsi="Times New Roman"/>
          <w:sz w:val="24"/>
          <w:szCs w:val="24"/>
        </w:rPr>
        <w:t>были названы аукционистом последними.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7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22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января 2018 года в 13 час. 30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Торги по продаже указанного муниципального имущества ранее не проводились.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на участие в открытом аукционе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="0" w:after="0"/>
        <w:rPr/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_____ час. _____ мин. «_____» _______________ _____ года за № 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находящегося в собственности муниципального образования «Малопургинский район»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претендента: 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исполняющего обязанности Главы  муниципального образования «Малопургинский район» Уткина Юрия Яковлевича,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</w:t>
      </w:r>
      <w:bookmarkStart w:id="3" w:name="__DdeLink__1753_1996395766"/>
      <w:r>
        <w:rPr>
          <w:rFonts w:cs="Times New Roman" w:ascii="Times New Roman" w:hAnsi="Times New Roman"/>
          <w:b/>
          <w:bCs/>
          <w:sz w:val="24"/>
          <w:szCs w:val="28"/>
        </w:rPr>
        <w:t>нежилых помещений на 1 этаже здания гостиницы со столовой, общей площадью 427,8 кв. м, расположенные по адресу: Удмуртская Республика, Малопургинский район, с. Пугачево, ул. Тимура Миниахметова, д. 5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, «Претендент» перечисляет в качестве задатка денежные средства в размере  </w:t>
      </w:r>
      <w:r>
        <w:rPr>
          <w:rFonts w:cs="Times New Roman" w:ascii="Times New Roman" w:hAnsi="Times New Roman"/>
          <w:b/>
          <w:bCs/>
          <w:sz w:val="24"/>
          <w:szCs w:val="24"/>
        </w:rPr>
        <w:t>787 600,00</w:t>
      </w:r>
      <w:r>
        <w:rPr>
          <w:rFonts w:cs="Times New Roman" w:ascii="Times New Roman" w:hAnsi="Times New Roman"/>
          <w:sz w:val="24"/>
          <w:szCs w:val="24"/>
        </w:rPr>
        <w:t xml:space="preserve"> (Семьсот восемьдесят семь тысяч шестьсот)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следующи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реквизит</w:t>
      </w:r>
      <w:r>
        <w:rPr>
          <w:rFonts w:cs="Times New Roman" w:ascii="Times New Roman" w:hAnsi="Times New Roman"/>
          <w:sz w:val="24"/>
          <w:szCs w:val="24"/>
        </w:rPr>
        <w:t>ам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Ю.Я. Уткин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2018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bookmarkStart w:id="4" w:name="__DdeLink__1344_716403401"/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исполняющего обязанности Главы  муниципального образования «Малопургинский район» Уткина Юрия Яковлевича, действующего на основании Устава, именуемая в дальнейшем «Продавец», с одной стороны,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заключили настоящий договор купли-продажи </w:t>
      </w:r>
      <w:bookmarkEnd w:id="4"/>
      <w:r>
        <w:rPr>
          <w:rFonts w:cs="Times New Roman" w:ascii="Times New Roman" w:hAnsi="Times New Roman"/>
          <w:sz w:val="24"/>
          <w:szCs w:val="24"/>
        </w:rPr>
        <w:t xml:space="preserve">(далее-Договор) о нижеследующем.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2018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bCs/>
          <w:sz w:val="24"/>
          <w:szCs w:val="28"/>
        </w:rPr>
        <w:t>нежилые помещения на 1 этаже здания гостиницы со столовой, общей площадью 427,8 кв. м, расположенные по адресу: Удмуртская Республика, Малопургинский район, с. Пугачево, ул. Тимура Миниахметова, д. 5</w:t>
      </w:r>
      <w:r>
        <w:rPr>
          <w:rFonts w:cs="Times New Roman" w:ascii="Times New Roman" w:hAnsi="Times New Roman"/>
          <w:sz w:val="24"/>
          <w:szCs w:val="24"/>
        </w:rPr>
        <w:t xml:space="preserve"> (далее по тексту: «Имущество»).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Удмуртской Республике 26.04.2016 года № 18-18-15/015/2011-064.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 Стоимость Имущества определена по итогам аукциона от «___»__________2018 года (протокол № __________ от «___» __________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года) и составляет __________ (__________) рублей ___ копеек, без учета НДС.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безналичным путем в течение 30 рабочих дней с даты подписания Сторонами настоящего Договора по следующим реквизитам: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94633477 (МО «Пугачевское»)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Принять Имущество по акту приема-передачи в порядке и сроки, предусмотренные договором (пункт 3.2.2 Договора).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документа, удостоверяющего проведенную государственную регистрацию прав.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5. Срок действия,  условия изменения и расторжения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5.1.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4"/>
          <w:szCs w:val="24"/>
          <w:lang w:eastAsia="en-US"/>
        </w:rPr>
        <w:t>Договор вступает в силу с момента его государственной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6.1.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6.2. </w:t>
      </w:r>
      <w:r>
        <w:rPr>
          <w:rFonts w:cs="Times New Roman" w:ascii="Times New Roman" w:hAnsi="Times New Roman"/>
          <w:sz w:val="24"/>
          <w:szCs w:val="24"/>
        </w:rPr>
        <w:t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судебном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Ю.Я. Уткин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2018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исполняющего обязанности Главы муниципального образования «Малопургинский район» Уткина Юрия Яковлевича, действующего на основании Устава муниципального образования «Малопургинский район», именуемая в дальнейшем «Продавец»,  с одной стороны,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bCs/>
          <w:sz w:val="24"/>
          <w:szCs w:val="28"/>
        </w:rPr>
        <w:t>нежилые помещения на 1 этаже здания гостиницы со столовой, общей площадью 427,8 кв. м, расположенные по адресу: Удмуртская Республика, Малопургинский район, с. Пугачево, ул. Тимура Миниахметова, д. 5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объекта :</w:t>
      </w:r>
    </w:p>
    <w:tbl>
      <w:tblPr>
        <w:tblW w:w="10082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3"/>
        <w:gridCol w:w="5048"/>
      </w:tblGrid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Пугачево, ул. Тимура Миниахметова, д. 5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18:16:057001:3590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площадь, кв.м (всего здания)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957,5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нежилых помещений на 1 этаже здания, являющихся объектом продажи,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427,8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Площадь арендопригодная,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427,8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Высота, 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3,16 -3,19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наземной части (всего здания)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Число этажей подземной части (всего здания)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отдельного входа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Есть отдельный вход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Физические свойства здания</w:t>
      </w:r>
    </w:p>
    <w:tbl>
      <w:tblPr>
        <w:tblW w:w="10082" w:type="dxa"/>
        <w:jc w:val="left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955"/>
        <w:gridCol w:w="3450"/>
        <w:gridCol w:w="3677"/>
      </w:tblGrid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7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состояние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Трещины, следы намокания, покрыты плесенью, грибком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Стены и 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Сколы и повреждения кирпичей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Скатная,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Паркет, керамическая плитка, бетонные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Вытирание в ходовых местах, сколы, отсутствие отдельных плиток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Оконные проемы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Загрязнение, деревянные проемы рассохлись, не плотный притвор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Дверные проемы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окрасочного слоя, сколы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Инженерное обеспечение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Отопление, водопровод, канализация, горячее водоснабжение, газоснабжение,  электроосвещение, телефон, вентиляция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Крыльца, отмостка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Трещины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sectPr>
      <w:footerReference w:type="default" r:id="rId1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sz w:val="20"/>
    </w:rPr>
  </w:style>
  <w:style w:type="character" w:styleId="Style14">
    <w:name w:val="Основной текст Знак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BodyTextIndent2Char">
    <w:name w:val="Body Text Indent 2 Char"/>
    <w:basedOn w:val="DefaultParagraphFont"/>
    <w:qFormat/>
    <w:rPr>
      <w:rFonts w:cs="Times New Roman"/>
    </w:rPr>
  </w:style>
  <w:style w:type="character" w:styleId="TitleChar">
    <w:name w:val="Title Char"/>
    <w:basedOn w:val="DefaultParagraphFont"/>
    <w:qFormat/>
    <w:rPr>
      <w:rFonts w:ascii="Times New Roman" w:hAnsi="Times New Roman" w:cs="Times New Roman"/>
      <w:b/>
      <w:sz w:val="24"/>
    </w:rPr>
  </w:style>
  <w:style w:type="character" w:styleId="BalloonTextChar">
    <w:name w:val="Balloon Text Char"/>
    <w:basedOn w:val="DefaultParagraphFont"/>
    <w:qFormat/>
    <w:rPr>
      <w:rFonts w:ascii="Tahoma" w:hAnsi="Tahoma" w:cs="Times New Roman"/>
      <w:sz w:val="16"/>
    </w:rPr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PlainTextChar">
    <w:name w:val="Plain Text Char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ascii="Times New Roman" w:hAnsi="Times New Roman"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ascii="Times New Roman" w:hAnsi="Times New Roman" w:cs="Times New Roman"/>
      <w:b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ascii="Times New Roman" w:hAnsi="Times New Roman" w:cs="Times New Roman"/>
      <w:b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ascii="Times New Roman" w:hAnsi="Times New Roman" w:cs="Times New Roman"/>
      <w:b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ascii="Times New Roman" w:hAnsi="Times New Roman" w:cs="Times New Roman"/>
      <w:b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ascii="Times New Roman" w:hAnsi="Times New Roman" w:cs="Times New Roman"/>
      <w:b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ascii="Times New Roman" w:hAnsi="Times New Roman" w:cs="Times New Roman"/>
      <w:b/>
      <w:bCs/>
      <w:sz w:val="24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ascii="Times New Roman" w:hAnsi="Times New Roman" w:cs="Times New Roman"/>
      <w:b/>
      <w:sz w:val="24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ascii="Times New Roman" w:hAnsi="Times New Roman" w:cs="Times New Roman"/>
      <w:b/>
      <w:bCs/>
      <w:sz w:val="24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ascii="Times New Roman" w:hAnsi="Times New Roman" w:cs="Times New Roman"/>
      <w:b/>
      <w:sz w:val="24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ascii="Times New Roman" w:hAnsi="Times New Roman" w:cs="Times New Roman"/>
      <w:b/>
      <w:bCs/>
      <w:sz w:val="24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ascii="Times New Roman" w:hAnsi="Times New Roman" w:cs="Times New Roman"/>
      <w:b/>
      <w:sz w:val="24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ascii="Times New Roman" w:hAnsi="Times New Roman" w:cs="Times New Roman"/>
      <w:b/>
      <w:bCs/>
      <w:sz w:val="24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ascii="Times New Roman" w:hAnsi="Times New Roman" w:cs="Times New Roman"/>
      <w:b/>
      <w:sz w:val="24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ascii="Times New Roman" w:hAnsi="Times New Roman" w:cs="Times New Roman"/>
      <w:b/>
      <w:bCs/>
      <w:sz w:val="24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ascii="Times New Roman" w:hAnsi="Times New Roman" w:cs="Times New Roman"/>
      <w:b/>
      <w:sz w:val="24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2304</TotalTime>
  <Application>LibreOffice/5.3.2.2$Windows_X86_64 LibreOffice_project/6cd4f1ef626f15116896b1d8e1398b56da0d0ee1</Application>
  <Pages>16</Pages>
  <Words>4254</Words>
  <Characters>31732</Characters>
  <CharactersWithSpaces>37487</CharactersWithSpaces>
  <Paragraphs>443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2017-12-18T16:10:57Z</cp:lastPrinted>
  <dcterms:modified xsi:type="dcterms:W3CDTF">2017-12-18T16:16:31Z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