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1807</w:t>
      </w:r>
      <w:r>
        <w:rPr>
          <w:rFonts w:cs="Times New Roman" w:ascii="Times New Roman" w:hAnsi="Times New Roman"/>
          <w:b/>
          <w:sz w:val="24"/>
          <w:szCs w:val="24"/>
        </w:rPr>
        <w:t>19/0119153/01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.2019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 ч 00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18 июля</w:t>
      </w:r>
      <w:r>
        <w:rPr>
          <w:rFonts w:cs="Times New Roman" w:ascii="Times New Roman" w:hAnsi="Times New Roman"/>
          <w:sz w:val="24"/>
          <w:szCs w:val="24"/>
        </w:rPr>
        <w:t xml:space="preserve">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99, располагаемая по адресу:  В 102 м на север от д.10, ул.Клубная, с.Кечево, вдоль автодороги  Бураново-Киясово км. 15+155;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100, располагаемая по адресу: В 85 м на северо-восток от д.10, ул.Клубная, с.Кечево;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87, располагаемая по адресу: В 33 м на восток от д.25, ул. Ленина, с.Малая Пурга, вдоль автодороги  Миндерево - Малая Пурга-Агрыз км. 2+460.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лоты № № 1, 2, 3: для распространения рекламы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лотам № № 1, 2, 3: 5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18 июля</w:t>
      </w:r>
      <w:r>
        <w:rPr>
          <w:rFonts w:cs="Times New Roman" w:ascii="Times New Roman" w:hAnsi="Times New Roman"/>
          <w:sz w:val="24"/>
          <w:szCs w:val="24"/>
        </w:rPr>
        <w:t xml:space="preserve"> 2019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Юртов Алексей Степанович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член</w:t>
      </w:r>
      <w:r>
        <w:rPr>
          <w:rFonts w:eastAsia="Calibri" w:cs="Times New Roman" w:ascii="Times New Roman" w:hAnsi="Times New Roman"/>
          <w:sz w:val="24"/>
          <w:szCs w:val="24"/>
        </w:rPr>
        <w:t>ов</w:t>
      </w:r>
      <w:r>
        <w:rPr>
          <w:rFonts w:eastAsia="Calibri" w:cs="Times New Roman" w:ascii="Times New Roman" w:hAnsi="Times New Roman"/>
          <w:sz w:val="24"/>
          <w:szCs w:val="24"/>
        </w:rPr>
        <w:t xml:space="preserve">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62,5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лоту № 2: в связи с отсутствием заявок по лоту № 2, аукцион по отношению к </w:t>
      </w:r>
      <w:bookmarkStart w:id="0" w:name="_GoBack"/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 </w:t>
        <w:tab/>
        <w:t xml:space="preserve">По лоту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в связи с отсутствием заявок по лоту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аукцион по отношению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лоту №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_DdeLink__634_2999906278"/>
      <w:bookmarkStart w:id="2" w:name="__DdeLink__634_2999906278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3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ихайлова С.С.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Глава муниципального                                                                           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образования «Малопургинский район»                                                                                        С.В. Юрин 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ind w:left="-5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2a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A"/>
      <w:sz w:val="22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paragraph" w:styleId="ListParagraph">
    <w:name w:val="List Paragraph"/>
    <w:basedOn w:val="Normal"/>
    <w:uiPriority w:val="34"/>
    <w:qFormat/>
    <w:rsid w:val="007f19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Application>LibreOffice/5.3.2.2$Windows_X86_64 LibreOffice_project/6cd4f1ef626f15116896b1d8e1398b56da0d0ee1</Application>
  <Pages>2</Pages>
  <Words>466</Words>
  <Characters>2818</Characters>
  <CharactersWithSpaces>3560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2019-08-09T16:10:17Z</cp:lastPrinted>
  <dcterms:modified xsi:type="dcterms:W3CDTF">2019-08-09T16:23:35Z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