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CA" w:rsidRPr="002768CA" w:rsidRDefault="002768CA" w:rsidP="00276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8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768CA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D7753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C2642C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декабре не планируется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 </w:t>
            </w:r>
            <w:r w:rsidR="008846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ab/>
              <w:t>В течение месяца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884685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884685">
              <w:rPr>
                <w:rFonts w:ascii="Times New Roman" w:eastAsia="Times New Roman" w:hAnsi="Times New Roman" w:cs="Times New Roman"/>
                <w:lang w:eastAsia="ru-RU"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2768CA" w:rsidRDefault="00D77539" w:rsidP="002768CA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Восход»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spell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«Уромское» - строительство нового телятника на 200 голов тентовом покрытии</w:t>
            </w:r>
            <w:r w:rsidR="00884685">
              <w:rPr>
                <w:rFonts w:ascii="Times New Roman" w:eastAsia="Times New Roman" w:hAnsi="Times New Roman" w:cs="Times New Roman"/>
                <w:lang w:eastAsia="ru-RU"/>
              </w:rPr>
              <w:t>, СПК «Родина»- строительство нового коровника на 280 голов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Ф. 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Мандиев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помощи:  КФХ Медведевой И.В. в строительстве фермы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Мандиев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D77539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88468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884685">
              <w:rPr>
                <w:rFonts w:ascii="Times New Roman" w:eastAsia="Times New Roman" w:hAnsi="Times New Roman" w:cs="Times New Roman"/>
                <w:bCs/>
              </w:rPr>
              <w:t>д</w:t>
            </w:r>
            <w:r w:rsidR="00C2642C">
              <w:rPr>
                <w:rFonts w:ascii="Times New Roman" w:eastAsia="Times New Roman" w:hAnsi="Times New Roman" w:cs="Times New Roman"/>
                <w:bCs/>
              </w:rPr>
              <w:t>екабре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 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Выезды по график</w:t>
            </w:r>
            <w:r w:rsidR="00111B63">
              <w:rPr>
                <w:rFonts w:ascii="Times New Roman" w:eastAsia="Times New Roman" w:hAnsi="Times New Roman" w:cs="Times New Roman"/>
                <w:lang w:eastAsia="ru-RU"/>
              </w:rPr>
              <w:t xml:space="preserve">у в хозяйства по вопросу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засыпке семян</w:t>
            </w:r>
            <w:r w:rsidR="00111B63">
              <w:rPr>
                <w:rFonts w:ascii="Times New Roman" w:eastAsia="Times New Roman" w:hAnsi="Times New Roman" w:cs="Times New Roman"/>
                <w:lang w:eastAsia="ru-RU"/>
              </w:rPr>
              <w:t xml:space="preserve"> и качеству семян, план на покупку минеральных и органических удобрений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Баушева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111B6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 xml:space="preserve">декабре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ИжГСХА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111B6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2768CA" w:rsidRDefault="00111B63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декабре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11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 xml:space="preserve">декабре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111B6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 xml:space="preserve">декабре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  <w:bCs/>
              </w:rPr>
              <w:t>декабре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2768CA" w:rsidRDefault="00111B63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декабре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r w:rsidR="00111B63">
              <w:rPr>
                <w:rFonts w:ascii="Times New Roman" w:eastAsia="Times New Roman" w:hAnsi="Times New Roman" w:cs="Times New Roman"/>
              </w:rPr>
              <w:t>декабре</w:t>
            </w:r>
            <w:r>
              <w:rPr>
                <w:rFonts w:ascii="Times New Roman" w:eastAsia="Times New Roman" w:hAnsi="Times New Roman" w:cs="Times New Roman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A06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Прием отчетности главных зоотехников хозяйств и глав КФХ по ф. 24 и воспроизводству стада КРС за </w:t>
            </w:r>
            <w:r w:rsidR="00B00C44">
              <w:rPr>
                <w:rFonts w:ascii="Times New Roman" w:eastAsia="Times New Roman" w:hAnsi="Times New Roman" w:cs="Times New Roman"/>
              </w:rPr>
              <w:t>11</w:t>
            </w:r>
            <w:r w:rsidRPr="002768CA">
              <w:rPr>
                <w:rFonts w:ascii="Times New Roman" w:eastAsia="Times New Roman" w:hAnsi="Times New Roman" w:cs="Times New Roman"/>
              </w:rPr>
              <w:t xml:space="preserve"> месяцев 2019 г. </w:t>
            </w:r>
          </w:p>
        </w:tc>
        <w:tc>
          <w:tcPr>
            <w:tcW w:w="1559" w:type="dxa"/>
            <w:gridSpan w:val="2"/>
          </w:tcPr>
          <w:p w:rsidR="002768CA" w:rsidRPr="002768CA" w:rsidRDefault="00B00C44" w:rsidP="00B0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декабря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2019 года  с 10-00 по 11-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00 кабинет 14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lastRenderedPageBreak/>
              <w:t>Е.</w:t>
            </w:r>
            <w:proofErr w:type="gramStart"/>
            <w:r w:rsidRPr="002768CA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2768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 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B0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информации по отрасли животноводства за </w:t>
            </w:r>
            <w:r w:rsidR="00B00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  <w:r w:rsidR="0080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2768CA" w:rsidRDefault="00B00C44" w:rsidP="00A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  2019 года, </w:t>
            </w:r>
            <w:r w:rsidR="00AF6E0F">
              <w:rPr>
                <w:rFonts w:ascii="Times New Roman" w:eastAsia="Times New Roman" w:hAnsi="Times New Roman" w:cs="Times New Roman"/>
                <w:lang w:eastAsia="ru-RU"/>
              </w:rPr>
              <w:t>8-30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МСХ и </w:t>
            </w:r>
            <w:proofErr w:type="gramStart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УР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Ф.Ф.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Мандиев</w:t>
            </w:r>
            <w:proofErr w:type="spellEnd"/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Е.Ю.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</w:rPr>
              <w:t>Баушева</w:t>
            </w:r>
            <w:proofErr w:type="spellEnd"/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276C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39276C" w:rsidRPr="002768CA" w:rsidRDefault="0039276C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39276C" w:rsidRPr="002768CA" w:rsidRDefault="0039276C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39276C" w:rsidRPr="00B81832" w:rsidRDefault="0039276C" w:rsidP="00B00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81832"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 Прогноза развития сельскохозяйственных предприят</w:t>
            </w:r>
            <w:r w:rsidR="00B81832" w:rsidRPr="00B81832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B81832">
              <w:rPr>
                <w:rFonts w:ascii="Times New Roman" w:eastAsia="Times New Roman" w:hAnsi="Times New Roman" w:cs="Times New Roman"/>
                <w:bCs/>
                <w:lang w:eastAsia="ru-RU"/>
              </w:rPr>
              <w:t>й Малопургинского района на 2020 год</w:t>
            </w:r>
          </w:p>
        </w:tc>
        <w:tc>
          <w:tcPr>
            <w:tcW w:w="1559" w:type="dxa"/>
            <w:gridSpan w:val="2"/>
          </w:tcPr>
          <w:p w:rsidR="0039276C" w:rsidRDefault="00B81832" w:rsidP="00A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декабря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МСХи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ПУР</w:t>
            </w:r>
          </w:p>
        </w:tc>
        <w:tc>
          <w:tcPr>
            <w:tcW w:w="1984" w:type="dxa"/>
            <w:gridSpan w:val="2"/>
          </w:tcPr>
          <w:p w:rsidR="0039276C" w:rsidRPr="002768CA" w:rsidRDefault="00B81832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C2642C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B00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до 20 </w:t>
            </w:r>
            <w:r w:rsidR="00B00C44">
              <w:rPr>
                <w:rFonts w:ascii="Times New Roman" w:eastAsia="Times New Roman" w:hAnsi="Times New Roman" w:cs="Times New Roman"/>
                <w:lang w:eastAsia="ru-RU"/>
              </w:rPr>
              <w:t xml:space="preserve">декабря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каб.13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Габбасова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2768CA" w:rsidRDefault="00C2642C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 Н. Кендерева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2768CA" w:rsidRDefault="00B00C44" w:rsidP="00B00C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2768CA" w:rsidTr="00CA3521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39276C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39276C" w:rsidRPr="002768CA" w:rsidRDefault="0039276C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</w:tcPr>
          <w:p w:rsidR="0039276C" w:rsidRPr="002768CA" w:rsidRDefault="0039276C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513" w:type="dxa"/>
            <w:gridSpan w:val="3"/>
          </w:tcPr>
          <w:p w:rsidR="0039276C" w:rsidRPr="002768CA" w:rsidRDefault="0039276C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крестьянско-фермерских хозяйств по вопросам бюджетировании и господдержки малых форм хозяйствования на 2020 год</w:t>
            </w:r>
          </w:p>
        </w:tc>
        <w:tc>
          <w:tcPr>
            <w:tcW w:w="1559" w:type="dxa"/>
            <w:gridSpan w:val="2"/>
          </w:tcPr>
          <w:p w:rsidR="0039276C" w:rsidRDefault="0039276C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декабря</w:t>
            </w:r>
          </w:p>
          <w:p w:rsidR="0039276C" w:rsidRPr="002768CA" w:rsidRDefault="0039276C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Каб.17</w:t>
            </w:r>
          </w:p>
        </w:tc>
        <w:tc>
          <w:tcPr>
            <w:tcW w:w="1984" w:type="dxa"/>
            <w:gridSpan w:val="2"/>
          </w:tcPr>
          <w:p w:rsidR="0039276C" w:rsidRPr="002768CA" w:rsidRDefault="0039276C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И.Н. Иванова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B81832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Интеллектуальная игра со специалистами сельскохозяйственных предприятий</w:t>
            </w:r>
          </w:p>
        </w:tc>
        <w:tc>
          <w:tcPr>
            <w:tcW w:w="1559" w:type="dxa"/>
            <w:gridSpan w:val="2"/>
          </w:tcPr>
          <w:p w:rsidR="002768CA" w:rsidRDefault="00B81832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декабря</w:t>
            </w:r>
          </w:p>
          <w:p w:rsidR="00B81832" w:rsidRPr="002768CA" w:rsidRDefault="00B81832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РДК</w:t>
            </w:r>
          </w:p>
        </w:tc>
        <w:tc>
          <w:tcPr>
            <w:tcW w:w="1984" w:type="dxa"/>
            <w:gridSpan w:val="2"/>
          </w:tcPr>
          <w:p w:rsidR="002768CA" w:rsidRPr="002768CA" w:rsidRDefault="00B81832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А.Г. Габбасова</w:t>
            </w:r>
            <w:bookmarkStart w:id="0" w:name="_GoBack"/>
            <w:bookmarkEnd w:id="0"/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Увеличение числа субъектов малого и среднего предпринимательства на 10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ас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ED6A88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88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Оказание консультационной, информационной поддержки субъектам малого и среднего предпринимательства</w:t>
            </w: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 на получение субсидий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предпринимателей района в мероприятиях,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проводимых мероприятиях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 предпринимателям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предпринимателей на личном приеме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 за консультацией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участию в проведении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предпринимателей.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Республиканскими организациями и фондами, составляющими инфраструктуру поддержки СМП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278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предпринимательскую деятельность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легализации неформальной занятости и осуществления предпринимательской деятельности без регистрации 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комиссии </w:t>
            </w:r>
            <w:r w:rsidRPr="00AF6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соблюдению трудовых прав и легализации доходов участников рынка труда в Малопургинском районе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индивидуальных предпринимателей, осуществляющих  деятельность в сфере лесозаготовок,  с целью выявления неформальной занятости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предпринимателей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Обращение в Министерство образования и науки Удмуртской Республики с просьбой организовать обучение старшеклассников (курсы, семинары, классные часы и др.)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AF6E0F" w:rsidRPr="002768CA" w:rsidTr="00CA3521">
        <w:trPr>
          <w:trHeight w:val="408"/>
        </w:trPr>
        <w:tc>
          <w:tcPr>
            <w:tcW w:w="15701" w:type="dxa"/>
            <w:gridSpan w:val="10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</w:t>
            </w:r>
          </w:p>
        </w:tc>
      </w:tr>
      <w:tr w:rsidR="00AF6E0F" w:rsidRPr="002768CA" w:rsidTr="00CA3521">
        <w:trPr>
          <w:trHeight w:val="1560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имуществе муниципального образования «Малопургинский  район», которое может быть передано в аренду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pStyle w:val="3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F6E0F">
              <w:rPr>
                <w:b w:val="0"/>
                <w:color w:val="auto"/>
                <w:sz w:val="24"/>
                <w:szCs w:val="24"/>
              </w:rPr>
              <w:t xml:space="preserve">Обновление 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 xml:space="preserve">информации по </w:t>
            </w:r>
            <w:r w:rsidRPr="00AF6E0F">
              <w:rPr>
                <w:b w:val="0"/>
                <w:color w:val="auto"/>
                <w:sz w:val="24"/>
                <w:szCs w:val="24"/>
              </w:rPr>
              <w:t>объект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ам</w:t>
            </w:r>
            <w:r w:rsidRPr="00AF6E0F">
              <w:rPr>
                <w:b w:val="0"/>
                <w:color w:val="auto"/>
                <w:sz w:val="24"/>
                <w:szCs w:val="24"/>
              </w:rPr>
              <w:t>, включенны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м</w:t>
            </w:r>
            <w:r w:rsidRPr="00AF6E0F">
              <w:rPr>
                <w:b w:val="0"/>
                <w:color w:val="auto"/>
                <w:sz w:val="24"/>
                <w:szCs w:val="24"/>
              </w:rPr>
              <w:t xml:space="preserve">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. Размещение информации на главной странице официального сайта Администрации муниципального образования «Малопургинский район»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Рост объема инвестиций в основной капитал (за исключением бюджетных средств) в расчете на 1 жителя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инвестиционных площадок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Реестра инвестиционных площадок.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Реестра инвестиционных площадок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предпринимателей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(вовлечение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  <w:proofErr w:type="gramEnd"/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Е.В., Главы поселений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публикации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на официальном сайте МО «Малопургинский район» и Правительства УР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с целью привлечения инвесторов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участи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Сопровождение инвестиционных проектов, имеющих приоритетное значение для социально-экономического развития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lastRenderedPageBreak/>
              <w:t>муниципального образования «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район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сопровождение инвестиционных проектов в режиме «одного окна» АО «Корпорация развития УР»;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своевременным получением инициатором проекта необходимых согласований и разрешений;</w:t>
            </w:r>
          </w:p>
          <w:p w:rsidR="00AF6E0F" w:rsidRPr="00AF6E0F" w:rsidRDefault="00AF6E0F" w:rsidP="00AF6E0F">
            <w:pPr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консультационной и организационной поддержки инициаторам инвестиционных проектов – 2 проекта.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по формированию 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инвестиционн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площад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на трассе М-7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работ по внесению изменений в Правила землепользования и застройки. Проведение инвентаризации </w:t>
            </w:r>
            <w:r w:rsidRPr="00AF6E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 вдоль Федеральной трассы М-7.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Ожмегова И.В.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промышленности</w:t>
            </w:r>
          </w:p>
        </w:tc>
      </w:tr>
      <w:tr w:rsidR="00ED6A88" w:rsidRPr="002768CA" w:rsidTr="00CA3521">
        <w:trPr>
          <w:trHeight w:val="1521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хозяйственно-финансовой деятельности предприятий района за октябрь 2019 года;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актуализация Реестра предприятий, потенциальных «точек роста;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состояния  трудовых ресурсов;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содействие участию ООО «Предприятие «Луч» в  нацпроекте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до 27 ноября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88" w:rsidRPr="002768CA" w:rsidTr="00CA3521">
        <w:trPr>
          <w:trHeight w:val="176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торговли и потребительского рынка</w:t>
            </w:r>
          </w:p>
        </w:tc>
      </w:tr>
      <w:tr w:rsidR="002768CA" w:rsidRPr="002768CA" w:rsidTr="00CA3521">
        <w:trPr>
          <w:trHeight w:val="1261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1.Разработка положения об организации выездной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2. Разработка положения об организации сезонной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3. Актуализация постановления Администрации об определении прилегающих территорий, на которых запрещена продажа алкогольной продукции;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Организация выездной торговли на районных спортивных и культурно-массовых мероприятиях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Исполнено</w:t>
            </w: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Покоева Е. 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Ожмегова И.В.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ь-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10 предпринимателей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 еженедельной сельскохозяйственной ярмарки выходного дня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проведения работы по категорированию предприятий торговли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консультационной помощи 9 хозяйствующим субъектам, участие в обследовании предприятий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эффективности управления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административной реформы на территории района. 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на муниципальные услуги 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административных регламентов на муниципальные услуги, в том числе в разрезе поселений, содействие внесению регламентов в ФРГУ, консультирование специалистов поселений и Администрации района по работе в автоматизированных информационных системах</w:t>
            </w: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2768CA">
        <w:rPr>
          <w:rFonts w:ascii="Times New Roman" w:eastAsia="Times New Roman" w:hAnsi="Times New Roman" w:cs="Times New Roman"/>
          <w:lang w:eastAsia="ru-RU"/>
        </w:rPr>
        <w:t xml:space="preserve">Начальник управления по развитию сельских территорий                                                                                                                    Ф.Ф. </w:t>
      </w:r>
      <w:proofErr w:type="spellStart"/>
      <w:r w:rsidRPr="002768CA">
        <w:rPr>
          <w:rFonts w:ascii="Times New Roman" w:eastAsia="Times New Roman" w:hAnsi="Times New Roman" w:cs="Times New Roman"/>
          <w:lang w:eastAsia="ru-RU"/>
        </w:rPr>
        <w:t>Мандиев</w:t>
      </w:r>
      <w:proofErr w:type="spellEnd"/>
    </w:p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6E511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C7298"/>
    <w:rsid w:val="00111B63"/>
    <w:rsid w:val="002768CA"/>
    <w:rsid w:val="0039276C"/>
    <w:rsid w:val="005341E8"/>
    <w:rsid w:val="00804309"/>
    <w:rsid w:val="00884685"/>
    <w:rsid w:val="00A06E19"/>
    <w:rsid w:val="00AF6E0F"/>
    <w:rsid w:val="00B00C44"/>
    <w:rsid w:val="00B81832"/>
    <w:rsid w:val="00C2642C"/>
    <w:rsid w:val="00D5127F"/>
    <w:rsid w:val="00D77539"/>
    <w:rsid w:val="00E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EA30-43B2-40F7-A025-EB4E5BAE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2019-11-14T12:56:00Z</dcterms:created>
  <dcterms:modified xsi:type="dcterms:W3CDTF">2019-11-15T12:39:00Z</dcterms:modified>
</cp:coreProperties>
</file>